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280"/>
        <w:jc w:val="center"/>
        <w:rPr>
          <w:rFonts w:ascii="Arial" w:hAnsi="Arial" w:eastAsia="Arial" w:cs="Arial"/>
          <w:smallCaps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ANEXO III</w:t>
      </w:r>
    </w:p>
    <w:p>
      <w:pPr>
        <w:pStyle w:val="Normal1"/>
        <w:spacing w:lineRule="auto" w:line="240" w:before="280" w:after="280"/>
        <w:jc w:val="center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b/>
          <w:smallCaps/>
          <w:color w:val="000000"/>
          <w:sz w:val="24"/>
          <w:szCs w:val="24"/>
        </w:rPr>
        <w:t>CRITÉRIOS DE AVALIAÇÃO</w:t>
      </w: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A avaliação dos projetos será realizada mediante atribuição de notas aos critérios de seleção, conforme descrição a seguir: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pleno de atendimento do critério - 10 pontos;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satisfatório de atendimento do critério – 6 pontos;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Grau insatisfatório de atendimento do critério – 2 pontos; 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• </w:t>
      </w:r>
      <w:r>
        <w:rPr>
          <w:rFonts w:eastAsia="Arial" w:cs="Arial" w:ascii="Arial" w:hAnsi="Arial"/>
          <w:color w:val="000000"/>
          <w:sz w:val="24"/>
          <w:szCs w:val="24"/>
        </w:rPr>
        <w:t>Não atendimento do critério – 0 pontos.</w:t>
      </w:r>
    </w:p>
    <w:p>
      <w:pPr>
        <w:pStyle w:val="Normal1"/>
        <w:spacing w:lineRule="auto" w:line="240" w:before="120" w:after="120"/>
        <w:ind w:right="120" w:hanging="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tbl>
      <w:tblPr>
        <w:tblStyle w:val="Table1"/>
        <w:tblW w:w="847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1515"/>
        <w:gridCol w:w="5475"/>
        <w:gridCol w:w="1485"/>
      </w:tblGrid>
      <w:tr>
        <w:trPr/>
        <w:tc>
          <w:tcPr>
            <w:tcW w:w="847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CRITÉRIOS OBRIGATÓRIOS</w:t>
            </w:r>
          </w:p>
        </w:tc>
      </w:tr>
      <w:tr>
        <w:trPr/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Identificação do Critério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Descrição do Critério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Máxima</w:t>
            </w:r>
          </w:p>
        </w:tc>
      </w:tr>
      <w:tr>
        <w:trPr/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 xml:space="preserve">Relevância das ações propostas pelo espaço, ambiente ou iniciativa artístico-cultural para o cenário </w:t>
            </w:r>
            <w:r>
              <w:rPr>
                <w:rFonts w:eastAsia="Arial" w:cs="Arial" w:ascii="Arial" w:hAnsi="Arial"/>
                <w:b/>
                <w:sz w:val="24"/>
                <w:szCs w:val="24"/>
              </w:rPr>
              <w:t>cultural do município</w:t>
            </w:r>
            <w:r>
              <w:rPr>
                <w:rFonts w:eastAsia="Arial" w:cs="Arial" w:ascii="Arial" w:hAnsi="Arial"/>
                <w:sz w:val="24"/>
                <w:szCs w:val="24"/>
              </w:rPr>
              <w:t>]- A análise deverá considerar, para fins de avaliação e valoração, se as ações contribuem  para o enriquecimento e valorização da cultura do município.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B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Aspectos de integração comunitária nas ações desenvolvidas pelo espaço, ambiente ou iniciativa artístico-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cultural - considera-se, para fins de avaliação e valoração, se o espaço, ambiente apresenta aspectos de integração comunitária, em relação ao impacto social para a inclusão de pessoas com deficiência, idosos e demais grupos em situação de histórica vulnerabilidade econômica/social.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C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Coerência da planilha orçamentária com a execução das metas e resultados - 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Deverá ser considerada para fins de avaliação a coerência e conformidade dos valores e quantidades dos itens relacionados na planilha orçamentária </w:t>
            </w:r>
          </w:p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D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Compatibilidade da ficha técnica com as atividades desenvolvidas - 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A análise deverá considerar a carreira dos profissionais que compõem o corpo técnico e artístico, verificando a coerência ou não em relação às atribuições que serão executadas por eles no espaço, ambiente ou iniciativa artístico-cultural (para esta avaliação serão considerados os mini currículos dos membros da ficha técnica).</w:t>
            </w:r>
          </w:p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</w:t>
            </w:r>
          </w:p>
        </w:tc>
        <w:tc>
          <w:tcPr>
            <w:tcW w:w="54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Trajetória artística e cultural do espaço, ambiente ou iniciativa artístico-cultural - </w:t>
            </w: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Será considerado para fins de análise a história do espaço, ambiente ou iniciativa artístico-cultural com base no portifólio e comprovações enviadas juntamente com a proposta</w:t>
            </w:r>
          </w:p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10</w:t>
            </w:r>
          </w:p>
        </w:tc>
      </w:tr>
      <w:tr>
        <w:trPr/>
        <w:tc>
          <w:tcPr>
            <w:tcW w:w="6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TOTAL: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spacing w:lineRule="auto" w:line="240" w:before="120" w:after="120"/>
              <w:ind w:left="120" w:right="120" w:hanging="0"/>
              <w:jc w:val="center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50</w:t>
            </w:r>
          </w:p>
        </w:tc>
      </w:tr>
    </w:tbl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Além da pontuação acima, o agente cultural pode receber bônus de pontuação, ou seja, uma pontuação extra, conforme critérios abaixo especificados: </w:t>
      </w:r>
    </w:p>
    <w:p>
      <w:pPr>
        <w:pStyle w:val="Normal1"/>
        <w:spacing w:lineRule="auto" w:line="240" w:before="0" w:after="0"/>
        <w:ind w:firstLine="72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Para estabelecer pontuação extra de acordo com a sua realidade local, podendo contemplar mulheres, pessoas negras, pessoas e povos indígenas, povos e comunidades tradicionais de que trata o § 2º do art. 4º do decreto nº 8.750, de 9 de maio de 2016, pessoas lgbtqiapn+, pessoas com deficiência, pessoas idosas, pessoas em situação de rua, e outros grupos vulnerabilizados socialmente, nos termos dos artigos 2º, 11 e 12 da instrução normativa minc nº 10/2023. Adotaremos os critérios de pontuação extra da seguinte maneira:</w:t>
      </w:r>
    </w:p>
    <w:p>
      <w:pPr>
        <w:pStyle w:val="Normal1"/>
        <w:spacing w:lineRule="auto" w:line="240" w:before="0" w:after="0"/>
        <w:jc w:val="both"/>
        <w:rPr>
          <w:rFonts w:ascii="Arial" w:hAnsi="Arial" w:eastAsia="Arial" w:cs="Arial"/>
          <w:sz w:val="24"/>
          <w:szCs w:val="24"/>
          <w:highlight w:val="yellow"/>
        </w:rPr>
      </w:pPr>
      <w:r>
        <w:rPr>
          <w:rFonts w:eastAsia="Arial" w:cs="Arial" w:ascii="Arial" w:hAnsi="Arial"/>
          <w:sz w:val="24"/>
          <w:szCs w:val="24"/>
          <w:highlight w:val="yellow"/>
        </w:rPr>
      </w:r>
    </w:p>
    <w:tbl>
      <w:tblPr>
        <w:tblStyle w:val="Table2"/>
        <w:tblW w:w="901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1814"/>
        <w:gridCol w:w="4785"/>
        <w:gridCol w:w="2416"/>
      </w:tblGrid>
      <w:tr>
        <w:trPr>
          <w:trHeight w:val="420" w:hRule="atLeast"/>
        </w:trPr>
        <w:tc>
          <w:tcPr>
            <w:tcW w:w="901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PARA ESPAÇOS E INICIATIVAS ARTÍSTICO-CULTURAIS</w:t>
            </w:r>
          </w:p>
        </w:tc>
      </w:tr>
      <w:tr>
        <w:trPr/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Identificação do Ponto Extra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Descrição do Ponto Extra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Máxima</w:t>
            </w:r>
          </w:p>
        </w:tc>
      </w:tr>
      <w:tr>
        <w:trPr/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F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Arial" w:hAnsi="Arial" w:eastAsia="Arial" w:cs="Arial"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Espaços, ambientes ou iniciativas artístico-culturais compostos majoritariamente por pessoas negras; indígenas; 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G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Espaços, ambientes ou iniciativas artístico-culturais compostos majoritariamente por mulheres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H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 xml:space="preserve">Espaços, ambientes ou iniciativas artístico-culturais sediadas e </w:t>
            </w:r>
            <w:r>
              <w:rPr>
                <w:rFonts w:eastAsia="Arial" w:cs="Arial" w:ascii="Arial" w:hAnsi="Arial"/>
                <w:sz w:val="24"/>
                <w:szCs w:val="24"/>
              </w:rPr>
              <w:t>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/>
        <w:tc>
          <w:tcPr>
            <w:tcW w:w="18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1"/>
              <w:widowControl w:val="false"/>
              <w:shd w:val="clear" w:fill="FFFFFF"/>
              <w:spacing w:lineRule="auto" w:line="240" w:before="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</w:r>
          </w:p>
          <w:p>
            <w:pPr>
              <w:pStyle w:val="Normal1"/>
              <w:widowControl w:val="false"/>
              <w:shd w:val="clear" w:fill="FFFFFF"/>
              <w:spacing w:lineRule="auto" w:line="240" w:before="0" w:after="240"/>
              <w:jc w:val="center"/>
              <w:rPr>
                <w:rFonts w:ascii="Arial" w:hAnsi="Arial" w:eastAsia="Arial" w:cs="Arial"/>
                <w:b/>
                <w:color w:val="000000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I</w:t>
            </w:r>
          </w:p>
        </w:tc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Espaços, ambientes ou iniciativas artístico-culturais com notória atuação em temáticas relacionadas a: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24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br/>
              <w:br/>
            </w:r>
          </w:p>
          <w:p>
            <w:pPr>
              <w:pStyle w:val="Normal1"/>
              <w:widowControl w:val="false"/>
              <w:spacing w:lineRule="auto" w:line="240" w:before="0" w:after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5</w:t>
            </w:r>
          </w:p>
        </w:tc>
      </w:tr>
      <w:tr>
        <w:trPr>
          <w:trHeight w:val="420" w:hRule="atLeast"/>
        </w:trPr>
        <w:tc>
          <w:tcPr>
            <w:tcW w:w="65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color w:val="000000"/>
                <w:sz w:val="24"/>
                <w:szCs w:val="24"/>
              </w:rPr>
              <w:t>PONTUAÇÃO EXTRA TOTAL</w:t>
            </w:r>
          </w:p>
        </w:tc>
        <w:tc>
          <w:tcPr>
            <w:tcW w:w="2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hd w:val="clear" w:fill="FFFFFF"/>
              <w:spacing w:lineRule="auto" w:line="240" w:before="240" w:after="240"/>
              <w:jc w:val="center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20 PONTOS</w:t>
            </w:r>
          </w:p>
        </w:tc>
      </w:tr>
    </w:tbl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 pontuação </w:t>
      </w:r>
      <w:r>
        <w:rPr>
          <w:rFonts w:eastAsia="Arial" w:cs="Arial" w:ascii="Arial" w:hAnsi="Arial"/>
          <w:color w:val="000000"/>
          <w:sz w:val="24"/>
          <w:szCs w:val="24"/>
        </w:rPr>
        <w:t>final de cada candidatura será</w:t>
      </w:r>
      <w:r>
        <w:rPr>
          <w:rFonts w:eastAsia="Arial" w:cs="Arial" w:ascii="Arial" w:hAnsi="Arial"/>
          <w:sz w:val="24"/>
          <w:szCs w:val="24"/>
        </w:rPr>
        <w:t xml:space="preserve"> de </w:t>
      </w:r>
      <w:r>
        <w:rPr>
          <w:rFonts w:eastAsia="Arial" w:cs="Arial" w:ascii="Arial" w:hAnsi="Arial"/>
          <w:b/>
          <w:sz w:val="24"/>
          <w:szCs w:val="24"/>
        </w:rPr>
        <w:t>70 pontos</w:t>
      </w:r>
      <w:r>
        <w:rPr>
          <w:rFonts w:eastAsia="Arial" w:cs="Arial" w:ascii="Arial" w:hAnsi="Arial"/>
          <w:sz w:val="24"/>
          <w:szCs w:val="24"/>
        </w:rPr>
        <w:t>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Os critérios gerais são eliminatórios, de modo que, o agente cultural que receber </w:t>
      </w:r>
      <w:r>
        <w:rPr>
          <w:rFonts w:eastAsia="Arial" w:cs="Arial" w:ascii="Arial" w:hAnsi="Arial"/>
          <w:b/>
          <w:color w:val="000000"/>
          <w:sz w:val="24"/>
          <w:szCs w:val="24"/>
        </w:rPr>
        <w:t>pontuação 0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em algum dos critérios será desclassificado do Edital.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Os bônus de pontuação são cumulativos e não constituem critérios obrigatórios, de modo que a pontuação 0 em algum dos pontos bônus não desclassifica o agente cultural.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Em caso de empate, serão utilizados para fins de classificação dos projetos a maior nota nos critérios de acordo com a ordem abaixo definida: A, B, C, D, E, respectivamente. 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Caso nenhum dos critérios acima elencados seja capaz de promover o desempate serão adotados critérios de desempate na ordem a seguir: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Serão observados os critérios dispostos no </w:t>
      </w:r>
      <w:hyperlink r:id="rId2">
        <w:r>
          <w:rPr>
            <w:rFonts w:eastAsia="Arial" w:cs="Arial" w:ascii="Arial" w:hAnsi="Arial"/>
            <w:sz w:val="24"/>
            <w:szCs w:val="24"/>
            <w:u w:val="single"/>
          </w:rPr>
          <w:t>Decreto Nº 11.453, de 23 De Março de 2023</w:t>
        </w:r>
      </w:hyperlink>
      <w:r>
        <w:rPr>
          <w:rFonts w:eastAsia="Arial" w:cs="Arial" w:ascii="Arial" w:hAnsi="Arial"/>
          <w:sz w:val="24"/>
          <w:szCs w:val="24"/>
        </w:rPr>
        <w:t xml:space="preserve"> que dispõe sobre os mecanismos de fomento do sistema de financiamento à cultura.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Serão considerados aptos os projetos que receberem nota final igual ou superior a </w:t>
      </w:r>
      <w:r>
        <w:rPr>
          <w:rFonts w:eastAsia="Arial" w:cs="Arial" w:ascii="Arial" w:hAnsi="Arial"/>
          <w:b/>
          <w:color w:val="000000"/>
          <w:sz w:val="24"/>
          <w:szCs w:val="24"/>
        </w:rPr>
        <w:t>3</w:t>
      </w:r>
      <w:r>
        <w:rPr>
          <w:rFonts w:eastAsia="Arial" w:cs="Arial" w:ascii="Arial" w:hAnsi="Arial"/>
          <w:b/>
          <w:sz w:val="24"/>
          <w:szCs w:val="24"/>
        </w:rPr>
        <w:t>5</w:t>
      </w:r>
      <w:r>
        <w:rPr>
          <w:rFonts w:eastAsia="Arial" w:cs="Arial" w:ascii="Arial" w:hAnsi="Arial"/>
          <w:b/>
          <w:color w:val="000000"/>
          <w:sz w:val="24"/>
          <w:szCs w:val="24"/>
        </w:rPr>
        <w:t xml:space="preserve"> pontos.</w:t>
      </w:r>
    </w:p>
    <w:p>
      <w:pPr>
        <w:pStyle w:val="Normal1"/>
        <w:numPr>
          <w:ilvl w:val="0"/>
          <w:numId w:val="1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Serão desclassificados os projetos que:</w:t>
      </w:r>
    </w:p>
    <w:p>
      <w:pPr>
        <w:pStyle w:val="Normal1"/>
        <w:spacing w:lineRule="auto" w:line="240" w:before="120" w:after="120"/>
        <w:ind w:left="1416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I - receberam </w:t>
      </w:r>
      <w:r>
        <w:rPr>
          <w:rFonts w:eastAsia="Arial" w:cs="Arial" w:ascii="Arial" w:hAnsi="Arial"/>
          <w:b/>
          <w:color w:val="000000"/>
          <w:sz w:val="24"/>
          <w:szCs w:val="24"/>
        </w:rPr>
        <w:t>nota 0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em qualquer dos critérios obrigatórios; </w:t>
      </w:r>
    </w:p>
    <w:p>
      <w:pPr>
        <w:pStyle w:val="Normal1"/>
        <w:spacing w:lineRule="auto" w:line="240" w:before="120" w:after="120"/>
        <w:ind w:left="1416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II - apresentem quaisquer formas de preconceito de origem, raça, etnia, gênero, cor, idade ou outras formas de discriminação serão desclassificadas, com fundamento no disposto no </w:t>
      </w:r>
      <w:r>
        <w:fldChar w:fldCharType="begin"/>
      </w:r>
      <w:r>
        <w:rPr>
          <w:sz w:val="24"/>
          <w:szCs w:val="24"/>
          <w:rFonts w:eastAsia="Arial" w:cs="Arial" w:ascii="Arial" w:hAnsi="Arial"/>
          <w:color w:val="000000"/>
        </w:rPr>
        <w:instrText xml:space="preserve"> HYPERLINK "http://www.planalto.gov.br/ccivil_03/Constituicao/Constituicao.htm" \l "art3iv"</w:instrText>
      </w:r>
      <w:r>
        <w:rPr>
          <w:sz w:val="24"/>
          <w:szCs w:val="24"/>
          <w:rFonts w:eastAsia="Arial" w:cs="Arial" w:ascii="Arial" w:hAnsi="Arial"/>
          <w:color w:val="000000"/>
        </w:rPr>
        <w:fldChar w:fldCharType="separate"/>
      </w:r>
      <w:r>
        <w:rPr>
          <w:rFonts w:eastAsia="Arial" w:cs="Arial" w:ascii="Arial" w:hAnsi="Arial"/>
          <w:color w:val="000000"/>
          <w:sz w:val="24"/>
          <w:szCs w:val="24"/>
        </w:rPr>
        <w:t>inciso IV do caput do art. 3º da Constituição,</w:t>
      </w:r>
      <w:r>
        <w:rPr>
          <w:sz w:val="24"/>
          <w:szCs w:val="24"/>
          <w:rFonts w:eastAsia="Arial" w:cs="Arial" w:ascii="Arial" w:hAnsi="Arial"/>
          <w:color w:val="000000"/>
        </w:rPr>
        <w:fldChar w:fldCharType="end"/>
      </w:r>
      <w:r>
        <w:rPr>
          <w:rFonts w:eastAsia="Arial" w:cs="Arial" w:ascii="Arial" w:hAnsi="Arial"/>
          <w:color w:val="000000"/>
          <w:sz w:val="24"/>
          <w:szCs w:val="24"/>
        </w:rPr>
        <w:t> garantidos o contraditório e a ampla defesa.</w:t>
      </w:r>
    </w:p>
    <w:p>
      <w:pPr>
        <w:pStyle w:val="Normal1"/>
        <w:numPr>
          <w:ilvl w:val="0"/>
          <w:numId w:val="2"/>
        </w:numPr>
        <w:spacing w:lineRule="auto" w:line="240" w:before="120" w:after="120"/>
        <w:ind w:left="84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A falsidade de informações acarretará desclassificação, podendo ensejar, ainda, a aplicação de sanções administrativas ou criminais.</w:t>
      </w:r>
    </w:p>
    <w:sectPr>
      <w:headerReference w:type="default" r:id="rId3"/>
      <w:footerReference w:type="default" r:id="rId4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  <w:font w:name="Noto Sans Symbols">
    <w:charset w:val="01"/>
    <w:family w:val="swiss"/>
    <w:pitch w:val="default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/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5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3990975" cy="74295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7429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tabs>
          <w:tab w:val="num" w:pos="0"/>
        </w:tabs>
        <w:ind w:left="720" w:hanging="360"/>
      </w:pPr>
      <w:rPr>
        <w:rFonts w:ascii="Noto Sans Symbols" w:hAnsi="Noto Sans Symbols" w:cs="Noto Sans Symbols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2160" w:hanging="360"/>
      </w:pPr>
      <w:rPr>
        <w:rFonts w:ascii="Noto Sans Symbols" w:hAnsi="Noto Sans Symbols" w:cs="Noto Sans Symbols" w:hint="default"/>
        <w:sz w:val="20"/>
        <w:szCs w:val="20"/>
      </w:rPr>
    </w:lvl>
    <w:lvl w:ilvl="3">
      <w:start w:val="1"/>
      <w:numFmt w:val="bullet"/>
      <w:lvlText w:val="▪"/>
      <w:lvlJc w:val="left"/>
      <w:pPr>
        <w:tabs>
          <w:tab w:val="num" w:pos="0"/>
        </w:tabs>
        <w:ind w:left="2880" w:hanging="360"/>
      </w:pPr>
      <w:rPr>
        <w:rFonts w:ascii="Noto Sans Symbols" w:hAnsi="Noto Sans Symbols" w:cs="Noto Sans Symbols" w:hint="default"/>
        <w:sz w:val="20"/>
        <w:szCs w:val="20"/>
      </w:rPr>
    </w:lvl>
    <w:lvl w:ilvl="4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Noto Sans Symbols" w:hAnsi="Noto Sans Symbols" w:cs="Noto Sans Symbols" w:hint="default"/>
        <w:sz w:val="20"/>
        <w:szCs w:val="2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4320" w:hanging="360"/>
      </w:pPr>
      <w:rPr>
        <w:rFonts w:ascii="Noto Sans Symbols" w:hAnsi="Noto Sans Symbols" w:cs="Noto Sans Symbols" w:hint="default"/>
        <w:sz w:val="20"/>
        <w:szCs w:val="20"/>
      </w:rPr>
    </w:lvl>
    <w:lvl w:ilvl="6">
      <w:start w:val="1"/>
      <w:numFmt w:val="bullet"/>
      <w:lvlText w:val="▪"/>
      <w:lvlJc w:val="left"/>
      <w:pPr>
        <w:tabs>
          <w:tab w:val="num" w:pos="0"/>
        </w:tabs>
        <w:ind w:left="5040" w:hanging="360"/>
      </w:pPr>
      <w:rPr>
        <w:rFonts w:ascii="Noto Sans Symbols" w:hAnsi="Noto Sans Symbols" w:cs="Noto Sans Symbols" w:hint="default"/>
        <w:sz w:val="20"/>
        <w:szCs w:val="20"/>
      </w:rPr>
    </w:lvl>
    <w:lvl w:ilvl="7">
      <w:start w:val="1"/>
      <w:numFmt w:val="bullet"/>
      <w:lvlText w:val="▪"/>
      <w:lvlJc w:val="left"/>
      <w:pPr>
        <w:tabs>
          <w:tab w:val="num" w:pos="0"/>
        </w:tabs>
        <w:ind w:left="5760" w:hanging="360"/>
      </w:pPr>
      <w:rPr>
        <w:rFonts w:ascii="Noto Sans Symbols" w:hAnsi="Noto Sans Symbols" w:cs="Noto Sans Symbols" w:hint="default"/>
        <w:sz w:val="20"/>
        <w:szCs w:val="2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6480" w:hanging="360"/>
      </w:pPr>
      <w:rPr>
        <w:rFonts w:ascii="Noto Sans Symbols" w:hAnsi="Noto Sans Symbols" w:cs="Noto Sans Symbols" w:hint="default"/>
        <w:sz w:val="20"/>
        <w:szCs w:val="20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8b5a30"/>
    <w:rPr>
      <w:b/>
      <w:bCs/>
    </w:rPr>
  </w:style>
  <w:style w:type="character" w:styleId="LinkdaInternet">
    <w:name w:val="Hyperlink"/>
    <w:basedOn w:val="DefaultParagraphFont"/>
    <w:uiPriority w:val="99"/>
    <w:semiHidden/>
    <w:unhideWhenUsed/>
    <w:rsid w:val="008b5a30"/>
    <w:rPr>
      <w:color w:val="0000FF"/>
      <w:u w:val="single"/>
    </w:rPr>
  </w:style>
  <w:style w:type="character" w:styleId="CabealhoChar" w:customStyle="1">
    <w:name w:val="Cabeçalho Char"/>
    <w:basedOn w:val="DefaultParagraphFont"/>
    <w:uiPriority w:val="99"/>
    <w:qFormat/>
    <w:rsid w:val="008d6fb7"/>
    <w:rPr/>
  </w:style>
  <w:style w:type="character" w:styleId="RodapChar" w:customStyle="1">
    <w:name w:val="Rodapé Char"/>
    <w:basedOn w:val="DefaultParagraphFont"/>
    <w:uiPriority w:val="99"/>
    <w:qFormat/>
    <w:rsid w:val="008d6fb7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semiHidden/>
    <w:unhideWhenUsed/>
    <w:qFormat/>
    <w:rsid w:val="008b5a3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Revision">
    <w:name w:val="Revision"/>
    <w:uiPriority w:val="99"/>
    <w:semiHidden/>
    <w:qFormat/>
    <w:rsid w:val="001b52c8"/>
    <w:pPr>
      <w:widowControl/>
      <w:bidi w:val="0"/>
      <w:spacing w:lineRule="auto" w:line="240"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8d6fb7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8d6fb7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b430a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legislacao.planalto.gov.br/legisla/legislacao.nsf/Viw_Identificacao/DEC 11.453-2023?OpenDocument" TargetMode="External"/><Relationship Id="rId3" Type="http://schemas.openxmlformats.org/officeDocument/2006/relationships/header" Target="header1.xml"/><Relationship Id="rId4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A6WKO1yEod4bTK6E271M3/sUYEg==">CgMxLjA4AHIhMWp2SUg5eE9vWkFLdExhb0pZaXBCRm1pRGlMRkpoRFJD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4</Pages>
  <Words>775</Words>
  <Characters>4437</Characters>
  <CharactersWithSpaces>5163</CharactersWithSpaces>
  <Paragraphs>65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2024-06-05T14:27:00Z</dcterms:created>
  <dc:creator>Laís Alves Valente</dc:creator>
  <dc:description/>
  <dc:language>pt-BR</dc:language>
  <cp:lastModifiedBy/>
  <dcterms:modified xsi:type="dcterms:W3CDTF">2024-10-09T14:04:06Z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