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Bdr/>
        <w:shd w:val="clear" w:fill="FFFFFF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ANEXO 02 - CRITÉRIOS DE AVALIAÇÃO DA ETAPA DE SELEÇÃO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highlight w:val="yellow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  <w:u w:val="single"/>
        </w:rPr>
        <w:t>Avaliação da atuação da entidade cultural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highlight w:val="magenta"/>
        </w:rPr>
      </w:pPr>
      <w:r>
        <w:rPr>
          <w:b/>
          <w:sz w:val="24"/>
          <w:szCs w:val="24"/>
          <w:highlight w:val="magenta"/>
        </w:rPr>
      </w:r>
    </w:p>
    <w:tbl>
      <w:tblPr>
        <w:tblStyle w:val="Table1"/>
        <w:tblW w:w="9795" w:type="dxa"/>
        <w:jc w:val="left"/>
        <w:tblInd w:w="-345" w:type="dxa"/>
        <w:tblLayout w:type="fixed"/>
        <w:tblCellMar>
          <w:top w:w="40" w:type="dxa"/>
          <w:left w:w="40" w:type="dxa"/>
          <w:bottom w:w="40" w:type="dxa"/>
          <w:right w:w="40" w:type="dxa"/>
        </w:tblCellMar>
        <w:tblLook w:val="0600"/>
      </w:tblPr>
      <w:tblGrid>
        <w:gridCol w:w="479"/>
        <w:gridCol w:w="3630"/>
        <w:gridCol w:w="870"/>
        <w:gridCol w:w="1485"/>
        <w:gridCol w:w="1456"/>
        <w:gridCol w:w="1874"/>
      </w:tblGrid>
      <w:tr>
        <w:trPr>
          <w:trHeight w:val="555" w:hRule="atLeast"/>
        </w:trPr>
        <w:tc>
          <w:tcPr>
            <w:tcW w:w="4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6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11" w:type="dxa"/>
            <w:gridSpan w:val="3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1"/>
              <w:widowControl w:val="false"/>
              <w:jc w:val="center"/>
              <w:rPr/>
            </w:pPr>
            <w:r>
              <w:rPr>
                <w:b/>
              </w:rPr>
              <w:t>DISTRIBUIÇÃO DOS PONTOS</w:t>
            </w:r>
          </w:p>
        </w:tc>
        <w:tc>
          <w:tcPr>
            <w:tcW w:w="1874" w:type="dxa"/>
            <w:tcBorders>
              <w:top w:val="single" w:sz="6" w:space="0" w:color="000000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PONTUAÇÃO MÁXIMA NO ITEM</w:t>
            </w:r>
          </w:p>
        </w:tc>
      </w:tr>
      <w:tr>
        <w:trPr>
          <w:trHeight w:val="79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>
                <w:b/>
              </w:rPr>
              <w:t>A partir do portfólio, do formulário de inscrição e demais materiais enviados, e considerando os objetivos de Pontos de Cultura definidos na Lei que institui a Política Nacional de Cultura Viva (Lei nº 13.018/2014, art. 6º, I), analisar se a entidade ou coletivo cultural atende aos seguintes critérios: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/>
            </w:pPr>
            <w:r>
              <w:rPr>
                <w:b/>
              </w:rPr>
              <w:t>Não Atende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/>
            </w:pPr>
            <w:r>
              <w:rPr>
                <w:b/>
              </w:rPr>
              <w:t>Atende Parcialmente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/>
            </w:pPr>
            <w:r>
              <w:rPr>
                <w:b/>
              </w:rPr>
              <w:t>Atende Plenamente</w:t>
            </w:r>
          </w:p>
        </w:tc>
        <w:tc>
          <w:tcPr>
            <w:tcW w:w="187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 pontos</w:t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Representa iniciativas culturais já desenvolvidas por comunidades, grupos e redes de colaboração.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Promove, amplia e garante a criação e a produção artística e cultural.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Incentiva a preservação da cultura brasileira.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Estimula a exploração de espaços públicos e privados para serem disponibilizados para a ação cultural.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e)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Aumenta a visibilidade das diversas iniciativas culturais.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Promove a diversidade cultural brasileira, garantindo diálogos interculturais.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g)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Garante acesso aos meios de fruição, produção e difusão cultural.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2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h)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Assegura a inclusão cultural da população idosa, de mulheres, jovens, pessoas negras, com deficiência, LGBTQIAP+ e/ou de baixa renda, combatendo as desigualdades sociais.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Contribui para o fortalecimento da autonomia social das comunidades.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Promove o intercâmbio entre diferentes segmentos da comunidade.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k)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Estimula a articulação das redes sociais e culturais e dessas com a educação.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l)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Adota princípios de gestão compartilhada entre atores culturais não governamentais e o Estado.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Fomenta as economias solidária e criativa.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Protege o patrimônio cultural material, imaterial e promove as memórias comunitárias.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Apoia e incentiva manifestações culturais populares e tradicionais.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31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Realiza atividades culturais gratuitas e abertas com regularidade na comunidade.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As ações da entidade/coletivo estão relacionadas aos eixos estruturantes da PNCV, por meio de ações nas áreas de formação, produção e/ou difusão sociocultural de maneira continuada.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555" w:hRule="atLeast"/>
        </w:trPr>
        <w:tc>
          <w:tcPr>
            <w:tcW w:w="479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r)</w:t>
            </w:r>
          </w:p>
        </w:tc>
        <w:tc>
          <w:tcPr>
            <w:tcW w:w="3630" w:type="dxa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both"/>
              <w:rPr/>
            </w:pPr>
            <w:r>
              <w:rPr/>
              <w:t>A entidade possui articulação com outras organizações, compondo Frentes, Redes, Conselhos, Comissões, dentre outros espaços de participação e incidência política em áreas sinérgicas a PNCV.</w:t>
            </w:r>
          </w:p>
        </w:tc>
        <w:tc>
          <w:tcPr>
            <w:tcW w:w="870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5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56" w:type="dxa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74" w:type="dxa"/>
            <w:vMerge w:val="continue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fill="auto" w:val="clear"/>
            <w:vAlign w:val="cente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76" w:before="0" w:after="0"/>
              <w:ind w:left="0" w:right="0" w:hanging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widowControl w:val="false"/>
        <w:rPr>
          <w:sz w:val="24"/>
          <w:szCs w:val="24"/>
        </w:rPr>
      </w:pPr>
      <w:r>
        <w:rPr>
          <w:sz w:val="24"/>
          <w:szCs w:val="24"/>
        </w:rPr>
        <w:t>Para ser certificada, a entidade precisará alcançar a pontuação mínima de 50 (cinquenta) pontos.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b/>
          <w:sz w:val="24"/>
          <w:szCs w:val="24"/>
          <w:highlight w:val="yellow"/>
        </w:rPr>
      </w:pPr>
      <w:r>
        <w:rPr>
          <w:b/>
          <w:sz w:val="24"/>
          <w:szCs w:val="24"/>
          <w:u w:val="single"/>
        </w:rPr>
        <w:t>Bloco 3 - Bonificações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Poderão ser atribuídas bonificações em formato de pontuação extra, seguindo diferentes critérios, de acordo com a deliberação do Ente Federado, </w:t>
      </w:r>
      <w:r>
        <w:rPr>
          <w:b/>
          <w:sz w:val="24"/>
          <w:szCs w:val="24"/>
          <w:u w:val="single"/>
        </w:rPr>
        <w:t>até o limite total de 5 (cinco) pontos</w:t>
      </w:r>
      <w:r>
        <w:rPr>
          <w:sz w:val="24"/>
          <w:szCs w:val="24"/>
        </w:rPr>
        <w:t>. Inclusive, é possível a não adoção de nenhum tipo de bonificação.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ind w:left="0" w:hanging="0"/>
        <w:jc w:val="both"/>
        <w:rPr>
          <w:sz w:val="24"/>
          <w:szCs w:val="24"/>
        </w:rPr>
      </w:pPr>
      <w:r>
        <w:rPr>
          <w:sz w:val="24"/>
          <w:szCs w:val="24"/>
        </w:rPr>
      </w:r>
    </w:p>
    <w:tbl>
      <w:tblPr>
        <w:tblStyle w:val="Table2"/>
        <w:tblW w:w="9285" w:type="dxa"/>
        <w:jc w:val="left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/>
      </w:tblPr>
      <w:tblGrid>
        <w:gridCol w:w="7440"/>
        <w:gridCol w:w="1844"/>
      </w:tblGrid>
      <w:tr>
        <w:trPr/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CRITÉRIO DE BONIFICAÇÃO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PONTUAÇÃO ATRIBUÍDA</w:t>
            </w:r>
          </w:p>
        </w:tc>
      </w:tr>
      <w:tr>
        <w:trPr/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>Pontos de Cultura que desenvolvam projetos inovadores e inclusivos, democratizando o acesso à arte e cultura em comunidades de baixa renda, áreas rurais e comunidades tradicionais. A comprovação se dará por meio de documentos que atestem a realização dos projetos e de comprovante de endereço.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>
        <w:trPr/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left"/>
              <w:rPr/>
            </w:pPr>
            <w:r>
              <w:rPr/>
              <w:t xml:space="preserve">Pontos de Cultura que promovam </w:t>
            </w:r>
            <w:r>
              <w:rPr>
                <w:highlight w:val="white"/>
              </w:rPr>
              <w:t>ações afirmativas para as pessoas com deficiência e das medidas de acessibilidade ou seja prever medidas que contemplem e incentivem o protagonismo de agentes culturais com deficiência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2,5</w:t>
            </w:r>
          </w:p>
        </w:tc>
      </w:tr>
      <w:tr>
        <w:trPr/>
        <w:tc>
          <w:tcPr>
            <w:tcW w:w="7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widowControl w:val="false"/>
              <w:spacing w:lineRule="auto" w:line="240"/>
              <w:rPr/>
            </w:pPr>
            <w:r>
              <w:rPr/>
              <w:t xml:space="preserve">Total: </w:t>
            </w:r>
          </w:p>
        </w:tc>
        <w:tc>
          <w:tcPr>
            <w:tcW w:w="18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Normal1"/>
              <w:keepNext w:val="false"/>
              <w:keepLines w:val="false"/>
              <w:widowControl w:val="false"/>
              <w:pBdr/>
              <w:shd w:val="clear" w:fill="auto"/>
              <w:spacing w:lineRule="auto" w:line="240" w:before="0" w:after="0"/>
              <w:ind w:left="0" w:right="0" w:hanging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 Pontos</w:t>
            </w:r>
          </w:p>
        </w:tc>
      </w:tr>
    </w:tbl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  <w:shd w:fill="F4CCCC" w:val="clear"/>
        </w:rPr>
      </w:pPr>
      <w:r>
        <w:rPr>
          <w:sz w:val="24"/>
          <w:szCs w:val="24"/>
          <w:shd w:fill="F4CCCC" w:val="clear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O Ente Federativo deverá considerar o conjunto de regramentos previstos na Instrução Normativa MinC nº 10, de 28 de dezembro de 2023, que dispõe sobre as regras e os procedimentos para implementação das ações afirmativas e medidas de acessibilidade de que trata o Decreto nº 11.740, de 18 de outubro de 2023, que regulamenta a Lei nº 14.399, de 08 de julho de 2022, a qual institui a Política Nacional Aldir Blanc de Fomento à Cultura. Em especial, o Capítulo III: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“</w:t>
      </w:r>
      <w:r>
        <w:rPr>
          <w:sz w:val="24"/>
          <w:szCs w:val="24"/>
        </w:rPr>
        <w:t>CAPÍTULO III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DAS BONIFICAÇÕES OU DOS CRITÉRIOS DIFERENCIADOS DE PONTUAÇÃO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Art. 11. Os critérios diferenciados de pontuação têm como objetivo valorizar e induzir propostas que contemplem ou tenham associação às políticas afirmativas, podendo ser aplicados a pessoas físicas, pessoas jurídicas ou grupos e coletivos sem constituição jurídica.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Art. 12. Os procedimentos públicos de seleção podem conter critérios diferenciados de pontuação, inclusive critérios de desempate, considerando: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I - o perfil do público-alvo a que a ação, projeto ou produto cultural é direcionado;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II - o perfil do agente cultural que propõe a ação, projeto ou produto cultural;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III - a linguagem, expressão cultural e/ou temática da ação, projeto ou produto cultural;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IV - a facilitação do acesso pela população aos bens e serviços gerados pela ação, projeto ou produto cultural, por meio de: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a) gratuidade de ingressos ou ingressos a preços populares;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b) distribuição gratuita de produtos culturais para escolas públicas, Unidades Básicas de Saúde - UBS, Centro de Atenção Psicossocial - CAPS, Centros de Referência da Assistência Social - CRAS, e demais equipamentos públicos; e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both"/>
        <w:rPr>
          <w:sz w:val="24"/>
          <w:szCs w:val="24"/>
        </w:rPr>
      </w:pPr>
      <w:r>
        <w:rPr>
          <w:sz w:val="24"/>
          <w:szCs w:val="24"/>
        </w:rPr>
        <w:t>c) outras estratégias de democratização do acesso.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0" w:after="1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O Ente Federativo responsável pelo Edital poderá definir pontuação extra (dentro do limite total de até 05 pontos adicionais para todas as possíveis bonificações definidas) para Pontos e Pontões de Cultura já certificados pelo Ministério da Cultura, </w:t>
      </w:r>
      <w:r>
        <w:rPr>
          <w:sz w:val="24"/>
          <w:szCs w:val="24"/>
          <w:u w:val="single"/>
        </w:rPr>
        <w:t>apenas no caso de não definir cotas (Anexo 01)</w:t>
      </w:r>
      <w:r>
        <w:rPr>
          <w:sz w:val="24"/>
          <w:szCs w:val="24"/>
        </w:rPr>
        <w:t>. Inclusive, pode não adotar bonificações para Pontos e Pontões de Cultura já certificados pelo Ministério da Cultura, a seu critério.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Caso opte por algum percentual de cotas para Pontos e Pontões de Cultura já certificados pelo Ministério da Cultura, a certificação não poderá ser em data posterior a 30 de junho de 2024 (considerando as inscrições efetuadas até 30 de março de 2024, pois o prazo de certificação, pela Comissão de Certificação do Cadastro Nacional de Pontos e Pontões de Cultura, é de até 90 dias). E não poderá ser definida cota por tempo de certificação, pois não há como se garantir a precisão deste tipo de informação.</w:t>
      </w:r>
    </w:p>
    <w:p>
      <w:pPr>
        <w:pStyle w:val="Normal1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/>
        <w:jc w:val="both"/>
        <w:rPr>
          <w:sz w:val="24"/>
          <w:szCs w:val="24"/>
        </w:rPr>
      </w:pPr>
      <w:r>
        <w:rPr>
          <w:sz w:val="24"/>
          <w:szCs w:val="24"/>
        </w:rPr>
        <w:t>Conforme consta na Portaria Nº 80/2023 do Ministério da Cultura (que regulamenta a PNAB), não poderá ser adotado qualquer outro cadastro (como Cadastro Estadual e/ou Municipal de Pontos de Cultura, ou qualquer outro cadastro) para bonificações. Apenas o Cadastro Nacional de Pontos e Pontões de Cultura poderá ser objeto de bonificações.</w:t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/>
      <w:rPr/>
    </w:pPr>
    <w:r>
      <w:rPr/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6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9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2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0" allowOverlap="1" relativeHeight="13">
          <wp:simplePos x="0" y="0"/>
          <wp:positionH relativeFrom="column">
            <wp:posOffset>257175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3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9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j2w4pZA3hOOkt+auu3TMwLYWLNHw==">CgMxLjA4AHIhMS1rNE1UNFR3UXhFSHZQQnpXREdLdFZ0MVptQk1jNjkz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4</Pages>
  <Words>985</Words>
  <Characters>5237</Characters>
  <CharactersWithSpaces>6098</CharactersWithSpaces>
  <Paragraphs>125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2024-10-11T15:00:50Z</dcterms:modified>
  <cp:revision>1</cp:revision>
  <dc:subject/>
  <dc:title/>
</cp:coreProperties>
</file>