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agentes culturais concorrentes às cotas étnico-raciais – negros ou indígenas)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 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C">
      <w:pPr>
        <w:spacing w:before="28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tabs>
        <w:tab w:val="center" w:leader="none" w:pos="4252"/>
        <w:tab w:val="right" w:leader="none" w:pos="8504"/>
      </w:tabs>
      <w:spacing w:after="0"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2052302465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861541" cy="713423"/>
          <wp:effectExtent b="0" l="0" r="0" t="0"/>
          <wp:docPr id="205230246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10A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0pVa3iC7yR3eIRnQQ7wICMFglg==">CgMxLjA4AHIhMWR0anZvYXdoZjRaZnY4ZkUwRTY5WWVFRmI3ZWVkdU43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2024-06-06T13:56:00Z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