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9"/>
        <w:gridCol w:w="140"/>
        <w:gridCol w:w="101"/>
        <w:gridCol w:w="1339"/>
        <w:gridCol w:w="2421"/>
        <w:gridCol w:w="6600"/>
        <w:gridCol w:w="19"/>
        <w:gridCol w:w="1401"/>
        <w:gridCol w:w="399"/>
        <w:gridCol w:w="1800"/>
        <w:gridCol w:w="80"/>
        <w:gridCol w:w="101"/>
        <w:gridCol w:w="520"/>
        <w:gridCol w:w="19"/>
        <w:gridCol w:w="480"/>
        <w:gridCol w:w="120"/>
        <w:gridCol w:w="440"/>
        <w:gridCol w:w="4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4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DEMONSTRATIVOS COMPLEMENTARES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DAS DESPESAS COM PESSOAL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PREVISÃO DAS PRIORIDADES DAS DESPESAS COM PESSOAL</w:t>
            </w:r>
          </w:p>
        </w:tc>
        <w:tc>
          <w:tcPr>
            <w:tcW w:w="54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PRIORIDADES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LDO 2026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Projeção 2027</w:t>
            </w:r>
          </w:p>
        </w:tc>
        <w:tc>
          <w:tcPr>
            <w:tcW w:w="18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Projeção 2028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DESPESA BRUTA COM PESSOAL (I)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585.857.566,89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8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Pessoal Ativo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546.397.566,89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Vencimentos, Vantagens e Outras Despesas Variáveis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465.769.307,92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Obrigações Patronais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80.628.258,97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8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Pessoal Inativo e Pensionistas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Aposentadorias, Reserva e Reformas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Pensões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8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 com Pessoal não Executada Orçamentariamente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8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despesas de pessoal decorrentes de contratos de terceirização ou de contratação de forma indireta (§ 1º do art.18 da LRF)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38.760.000,00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DESPESAS NÃO COMPUTADAS (II) (§ 1º do art. 19 da LRF)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28.923.317,66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8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Indenizações por Demissão e Incentivos à Demissão Voluntária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7.320.506,02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8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Decorrentes de Decisão Judicial de período anterior ao da apuração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8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Despesas de Exercícios Anteriores de período anterior ao da apuração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8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Inativos e Pensionistas com Resursos Vinculados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8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Agentes Comunitários de Saúde e de Combate às Endemias com Recursos Vinculados (CF, art. 198, §11)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15.402.450,40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8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Parcela dedutível referente ao piso salarial do Enfermeiro, Técnico de Enfermagem, Auxiliar de Enfermagem e Parteira (ADCT, art. 38, §2º)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6.095.361,24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8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Deduções Constitucionais ou Legais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DESPESA LÍQUIDA COM PESSOAL (III) = (I - II)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556.934.249,23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APURAÇÃO DO CUMPRIMENTO DO LIMITE LEGAL</w:t>
            </w:r>
          </w:p>
        </w:tc>
        <w:tc>
          <w:tcPr>
            <w:tcW w:w="540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 CORRENTE LÍQUIDA - RCL (IV)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1.365.451.108,09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 - ) Transferências obrigatórias da União relativas às emendas individuais (art. 166-A, § 1º, da CF)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 - ) Transferências obrigatórias da União relativas às emendas de bancada (art. 166, § 16, da CF)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 - ) Transferências da União relativas a remuneração dos agentes comunitários de saúde e de combate às endemias (CF, art. 198, §11)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17.658.914,07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 - ) Outras Deduções Constitucionais ou Legais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 CORRENTE LÍQUIDA AJUSTADA PARA CÁLCULO DOS LIMITES DA DESPESA COM PESSOAL (V)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1.347.792.194,02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% do TOTAL DAS PRIORIDADES DAS DESPESAS COM PESSOAL PARA FINS DE APURAÇÃO DO LIMITE - RCL (VI) = (III / V) * 100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41.32%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LIMITE MÁXIMO (VII) (incisos I, II e III, art. 20 da LRF) (60%)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808.675.316,41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LIMITE PRUDENCIAL (VIII) = (0,95 x VII) (parágrafo único do art. 22 da LRF) (57%)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768.241.550,59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LIMITE DE ALERTA (IX) = (0,90 x VII) (inciso II do §1º do art. 59 da LRF) (54%)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727.807.784,77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8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400" w:right="400" w:gutter="0" w:header="0" w:top="400" w:footer="0" w:bottom="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432</Words>
  <Characters>2329</Characters>
  <CharactersWithSpaces>2633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