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1579"/>
        <w:gridCol w:w="7801"/>
        <w:gridCol w:w="80"/>
        <w:gridCol w:w="319"/>
        <w:gridCol w:w="200"/>
        <w:gridCol w:w="20"/>
        <w:gridCol w:w="501"/>
        <w:gridCol w:w="120"/>
        <w:gridCol w:w="459"/>
        <w:gridCol w:w="2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SUMÁRIO GERAL DA RECEITA POR FONTES E DA DESPESA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POR FUNÇÕES DE GOVERNO</w:t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RECEITAS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1.0.0.0.00.0.0.00.00.00 - Receitas Correntes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1.365.451.108,0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2.0.0.0.00.0.0.00.00.00 - Receitas de Capital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207.865.207,96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Subtotal: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DESPESAS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01 - Legislativa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04 - Administração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158.180.099,37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06 - Segurança Pública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08 - Assistência Social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10 - Saúde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12 - Educação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13 - Cultura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15 - Urbanismo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168.901.026,93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17 - Saneamento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18 - Gestão Ambiental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19 - Ciência e Tecnologia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26 - Transporte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27 - Desporto e Lazer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28 - Encargos Especiais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99 - Reserva de Contingência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Subtotal: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 das receitas: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9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 das despesas:</w:t>
            </w:r>
          </w:p>
        </w:tc>
        <w:tc>
          <w:tcPr>
            <w:tcW w:w="1300" w:type="dxa"/>
            <w:gridSpan w:val="5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38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130</Words>
  <Characters>827</Characters>
  <CharactersWithSpaces>902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